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CA28" w14:textId="1B8B88E8" w:rsidR="00C0571C" w:rsidRDefault="00E444E7" w:rsidP="00C0571C">
      <w:pPr>
        <w:pStyle w:val="Nzev"/>
        <w:jc w:val="center"/>
        <w:rPr>
          <w:b/>
        </w:rPr>
      </w:pPr>
      <w:r>
        <w:rPr>
          <w:b/>
        </w:rPr>
        <w:t>PÍSEMNÁ ZPRÁVA ZADAVATELE</w:t>
      </w:r>
      <w:r w:rsidR="00C0571C">
        <w:rPr>
          <w:b/>
        </w:rPr>
        <w:t xml:space="preserve"> – </w:t>
      </w:r>
    </w:p>
    <w:p w14:paraId="3FA15B6A" w14:textId="77777777" w:rsidR="00C14C41" w:rsidRDefault="00C14C41" w:rsidP="00C14C41">
      <w:pPr>
        <w:pStyle w:val="Nzev"/>
        <w:jc w:val="center"/>
        <w:rPr>
          <w:b/>
        </w:rPr>
      </w:pPr>
      <w:r>
        <w:rPr>
          <w:b/>
        </w:rPr>
        <w:t xml:space="preserve">3. ČÁST VEŘEJNÉ ZAKÁZKY - </w:t>
      </w:r>
      <w:r w:rsidRPr="002428BB">
        <w:rPr>
          <w:b/>
          <w:caps/>
        </w:rPr>
        <w:t>Projekt „Nejdek, MŠ Lipová – celková rekonstrukce“</w:t>
      </w:r>
    </w:p>
    <w:p w14:paraId="4BD06A8D" w14:textId="44BD83C6" w:rsidR="00E2272D" w:rsidRDefault="00E2272D" w:rsidP="00E2272D">
      <w:pPr>
        <w:pStyle w:val="Nzev"/>
        <w:jc w:val="center"/>
        <w:rPr>
          <w:b/>
        </w:rPr>
      </w:pP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9062" w:type="dxa"/>
        <w:tblInd w:w="113" w:type="dxa"/>
        <w:tblLook w:val="04A0" w:firstRow="1" w:lastRow="0" w:firstColumn="1" w:lastColumn="0" w:noHBand="0" w:noVBand="1"/>
      </w:tblPr>
      <w:tblGrid>
        <w:gridCol w:w="9062"/>
      </w:tblGrid>
      <w:tr w:rsidR="004123F1" w14:paraId="2D3BCDC9" w14:textId="77777777" w:rsidTr="004123F1">
        <w:tc>
          <w:tcPr>
            <w:tcW w:w="9062" w:type="dxa"/>
          </w:tcPr>
          <w:p w14:paraId="3401342F" w14:textId="77777777" w:rsidR="004123F1" w:rsidRPr="00680339" w:rsidRDefault="004123F1" w:rsidP="00F92D83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123F1" w14:paraId="7590F17E" w14:textId="77777777" w:rsidTr="004123F1">
        <w:trPr>
          <w:trHeight w:val="408"/>
        </w:trPr>
        <w:tc>
          <w:tcPr>
            <w:tcW w:w="9062" w:type="dxa"/>
          </w:tcPr>
          <w:p w14:paraId="6A526245" w14:textId="61199DAD" w:rsidR="004123F1" w:rsidRPr="00680339" w:rsidRDefault="00C0571C" w:rsidP="00F92D83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Nejdek – projektové dokumentace 2020</w:t>
            </w:r>
          </w:p>
        </w:tc>
      </w:tr>
    </w:tbl>
    <w:p w14:paraId="548D5559" w14:textId="77777777" w:rsidR="004123F1" w:rsidRDefault="004123F1" w:rsidP="004123F1"/>
    <w:p w14:paraId="4D102ACC" w14:textId="77777777" w:rsidR="004123F1" w:rsidRDefault="004123F1" w:rsidP="004123F1">
      <w:pPr>
        <w:spacing w:after="0"/>
        <w:jc w:val="center"/>
      </w:pPr>
    </w:p>
    <w:p w14:paraId="0046AA6E" w14:textId="77777777" w:rsidR="004123F1" w:rsidRDefault="004123F1" w:rsidP="004123F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1C595311" w14:textId="77777777" w:rsidR="004123F1" w:rsidRDefault="004123F1" w:rsidP="004123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C0571C" w14:paraId="1C078206" w14:textId="77777777" w:rsidTr="00782567">
        <w:tc>
          <w:tcPr>
            <w:tcW w:w="4606" w:type="dxa"/>
          </w:tcPr>
          <w:p w14:paraId="66FF3156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67149791" w14:textId="77777777" w:rsidR="00C0571C" w:rsidRDefault="00C0571C" w:rsidP="00782567">
            <w:r w:rsidRPr="00A44299">
              <w:t>Zjednodušené podlimitní řízení</w:t>
            </w:r>
          </w:p>
        </w:tc>
      </w:tr>
      <w:tr w:rsidR="00C0571C" w14:paraId="79DEEB42" w14:textId="77777777" w:rsidTr="00782567">
        <w:tc>
          <w:tcPr>
            <w:tcW w:w="4606" w:type="dxa"/>
          </w:tcPr>
          <w:p w14:paraId="6713ECAE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26BBA83" w14:textId="77777777" w:rsidR="00C0571C" w:rsidRDefault="00C0571C" w:rsidP="00782567">
            <w:r>
              <w:t>Služby</w:t>
            </w:r>
          </w:p>
        </w:tc>
      </w:tr>
      <w:tr w:rsidR="00C0571C" w14:paraId="5736EA87" w14:textId="77777777" w:rsidTr="00782567">
        <w:tc>
          <w:tcPr>
            <w:tcW w:w="4606" w:type="dxa"/>
          </w:tcPr>
          <w:p w14:paraId="77F4419B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085C72D" w14:textId="77777777" w:rsidR="00C0571C" w:rsidRPr="007D3477" w:rsidRDefault="00C0571C" w:rsidP="00782567">
            <w:pPr>
              <w:rPr>
                <w:b/>
                <w:bCs/>
              </w:rPr>
            </w:pPr>
            <w:r w:rsidRPr="007D3477">
              <w:rPr>
                <w:b/>
                <w:bCs/>
              </w:rPr>
              <w:t>5.100.000,- Kč bez DPH</w:t>
            </w:r>
          </w:p>
        </w:tc>
      </w:tr>
      <w:tr w:rsidR="00C0571C" w14:paraId="1DCA494D" w14:textId="77777777" w:rsidTr="00782567">
        <w:tc>
          <w:tcPr>
            <w:tcW w:w="4606" w:type="dxa"/>
          </w:tcPr>
          <w:p w14:paraId="70D02D82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D6EC6B7" w14:textId="77777777" w:rsidR="00C0571C" w:rsidRDefault="000D39A9" w:rsidP="00782567">
            <w:hyperlink r:id="rId12" w:history="1">
              <w:r w:rsidR="00C0571C">
                <w:rPr>
                  <w:rStyle w:val="Hypertextovodkaz"/>
                </w:rPr>
                <w:t>https://zakazky.nejdek.cz/</w:t>
              </w:r>
            </w:hyperlink>
          </w:p>
        </w:tc>
      </w:tr>
      <w:tr w:rsidR="00C0571C" w14:paraId="65547404" w14:textId="77777777" w:rsidTr="00782567">
        <w:tc>
          <w:tcPr>
            <w:tcW w:w="4606" w:type="dxa"/>
          </w:tcPr>
          <w:p w14:paraId="746ADB52" w14:textId="77777777" w:rsidR="00C0571C" w:rsidRPr="006F49BD" w:rsidRDefault="00C0571C" w:rsidP="00782567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426CDC83" w14:textId="77777777" w:rsidR="00C0571C" w:rsidRDefault="00C0571C" w:rsidP="00782567">
            <w:r>
              <w:t>6</w:t>
            </w:r>
            <w:r w:rsidRPr="00164BF8">
              <w:t>.8.2020</w:t>
            </w:r>
          </w:p>
        </w:tc>
      </w:tr>
    </w:tbl>
    <w:p w14:paraId="73F3A2E7" w14:textId="77777777" w:rsidR="00C0571C" w:rsidRPr="00E2272D" w:rsidRDefault="00C0571C" w:rsidP="00C0571C">
      <w:pPr>
        <w:pStyle w:val="Nzev"/>
        <w:rPr>
          <w:rFonts w:cs="Arial"/>
          <w:b/>
          <w:color w:val="auto"/>
          <w:sz w:val="22"/>
          <w:szCs w:val="22"/>
        </w:rPr>
      </w:pPr>
    </w:p>
    <w:p w14:paraId="64BD75DF" w14:textId="77777777" w:rsidR="00C0571C" w:rsidRDefault="00C0571C" w:rsidP="00C0571C">
      <w:pPr>
        <w:jc w:val="center"/>
      </w:pPr>
      <w:r>
        <w:t xml:space="preserve">Zakázka je zadávána v certifikovaném elektronickém nástroji E-ZAK, který je dostupný </w:t>
      </w:r>
      <w:r w:rsidRPr="0068704B">
        <w:t xml:space="preserve">na </w:t>
      </w:r>
      <w:hyperlink r:id="rId13" w:history="1">
        <w:r>
          <w:rPr>
            <w:rStyle w:val="Hypertextovodkaz"/>
          </w:rPr>
          <w:t>https://zakazky.nejdek.cz/</w:t>
        </w:r>
      </w:hyperlink>
    </w:p>
    <w:p w14:paraId="29D465C1" w14:textId="77777777" w:rsidR="004123F1" w:rsidRPr="00E2272D" w:rsidRDefault="004123F1" w:rsidP="004123F1">
      <w:pPr>
        <w:pStyle w:val="Nzev"/>
        <w:rPr>
          <w:rFonts w:cs="Arial"/>
          <w:b/>
          <w:color w:val="auto"/>
          <w:sz w:val="22"/>
          <w:szCs w:val="22"/>
        </w:rPr>
      </w:pPr>
    </w:p>
    <w:p w14:paraId="2BAE7A4F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65C70CE" wp14:editId="036070EC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6F26D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CDF359C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5A187EBB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8C2BCB3" w14:textId="77777777" w:rsidR="004123F1" w:rsidRDefault="004123F1" w:rsidP="004123F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1CE0707" w14:textId="77777777" w:rsidR="004123F1" w:rsidRDefault="004123F1" w:rsidP="004123F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4123F1" w14:paraId="741508DA" w14:textId="77777777" w:rsidTr="00F92D83">
        <w:tc>
          <w:tcPr>
            <w:tcW w:w="4644" w:type="dxa"/>
          </w:tcPr>
          <w:p w14:paraId="37F075E1" w14:textId="77777777" w:rsidR="004123F1" w:rsidRPr="00151A38" w:rsidRDefault="004123F1" w:rsidP="00F92D83">
            <w:pPr>
              <w:pStyle w:val="Bezmezer"/>
              <w:rPr>
                <w:u w:val="single"/>
              </w:rPr>
            </w:pPr>
            <w:r w:rsidRPr="00151A38">
              <w:rPr>
                <w:u w:val="single"/>
              </w:rPr>
              <w:t>Zadavatel:</w:t>
            </w:r>
          </w:p>
          <w:p w14:paraId="6BFFB18B" w14:textId="77777777" w:rsidR="00C0571C" w:rsidRPr="00FA447F" w:rsidRDefault="00C0571C" w:rsidP="00C0571C">
            <w:pPr>
              <w:pStyle w:val="Bezmezer"/>
              <w:rPr>
                <w:b/>
                <w:bCs/>
              </w:rPr>
            </w:pPr>
            <w:r w:rsidRPr="00FA447F">
              <w:rPr>
                <w:b/>
                <w:bCs/>
              </w:rPr>
              <w:t>Město Nejdek</w:t>
            </w:r>
          </w:p>
          <w:p w14:paraId="4B4B1569" w14:textId="77777777" w:rsidR="00C0571C" w:rsidRPr="00FA447F" w:rsidRDefault="00C0571C" w:rsidP="00C0571C">
            <w:pPr>
              <w:shd w:val="clear" w:color="auto" w:fill="FFFFFF"/>
            </w:pPr>
            <w:r w:rsidRPr="00FA447F">
              <w:t xml:space="preserve">se sídlem náměstí Karla IV. 239, </w:t>
            </w:r>
          </w:p>
          <w:p w14:paraId="1A8136FC" w14:textId="77777777" w:rsidR="00C0571C" w:rsidRPr="00FA447F" w:rsidRDefault="00C0571C" w:rsidP="00C0571C">
            <w:pPr>
              <w:shd w:val="clear" w:color="auto" w:fill="FFFFFF"/>
            </w:pPr>
            <w:r w:rsidRPr="00FA447F">
              <w:t>362 21 Nejdek</w:t>
            </w:r>
          </w:p>
          <w:p w14:paraId="2431C7D9" w14:textId="77777777" w:rsidR="004123F1" w:rsidRPr="00151A38" w:rsidRDefault="004123F1" w:rsidP="00F92D83">
            <w:pPr>
              <w:pStyle w:val="Bezmezer"/>
            </w:pPr>
          </w:p>
          <w:p w14:paraId="24CC931F" w14:textId="77777777" w:rsidR="004123F1" w:rsidRPr="00151A38" w:rsidRDefault="004123F1" w:rsidP="00F92D8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734C415" w14:textId="77777777" w:rsidR="004123F1" w:rsidRPr="009E145E" w:rsidRDefault="004123F1" w:rsidP="00F92D8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E533FD5" w14:textId="77777777" w:rsidR="004123F1" w:rsidRDefault="004123F1" w:rsidP="00F92D83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AC49EEC" w14:textId="77777777" w:rsidR="004123F1" w:rsidRDefault="004123F1" w:rsidP="00F92D83">
            <w:pPr>
              <w:pStyle w:val="Bezmezer"/>
            </w:pPr>
            <w:r>
              <w:t xml:space="preserve">se sídlem Heršpická 813/5, </w:t>
            </w:r>
          </w:p>
          <w:p w14:paraId="6411CE0D" w14:textId="77777777" w:rsidR="004123F1" w:rsidRDefault="004123F1" w:rsidP="00F92D83">
            <w:pPr>
              <w:pStyle w:val="Bezmezer"/>
            </w:pPr>
            <w:r>
              <w:t>639 00 Brno</w:t>
            </w:r>
          </w:p>
          <w:p w14:paraId="1A1AAE8E" w14:textId="77777777" w:rsidR="004123F1" w:rsidRDefault="004123F1" w:rsidP="00F92D83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CA72B4C" w14:textId="77777777" w:rsidR="004123F1" w:rsidRDefault="004123F1" w:rsidP="00F92D83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0434AE72" w14:textId="77777777" w:rsidR="004123F1" w:rsidRDefault="004123F1" w:rsidP="00F92D83">
            <w:pPr>
              <w:pStyle w:val="Bezmezer"/>
              <w:rPr>
                <w:rFonts w:cs="Arial"/>
              </w:rPr>
            </w:pPr>
          </w:p>
        </w:tc>
      </w:tr>
      <w:tr w:rsidR="004123F1" w14:paraId="7E4CE0E3" w14:textId="77777777" w:rsidTr="00F92D83">
        <w:tc>
          <w:tcPr>
            <w:tcW w:w="4644" w:type="dxa"/>
          </w:tcPr>
          <w:p w14:paraId="6601914C" w14:textId="26A4EC61" w:rsidR="004123F1" w:rsidRPr="00151A38" w:rsidRDefault="004123F1" w:rsidP="00F92D83">
            <w:pPr>
              <w:pStyle w:val="Bezmezer"/>
              <w:rPr>
                <w:rFonts w:cs="Arial"/>
              </w:rPr>
            </w:pPr>
            <w:r w:rsidRPr="00151A38">
              <w:rPr>
                <w:b/>
              </w:rPr>
              <w:t xml:space="preserve">IČO: </w:t>
            </w:r>
            <w:bookmarkStart w:id="0" w:name="_Hlk42770159"/>
            <w:r w:rsidR="00C0571C" w:rsidRPr="002B0111">
              <w:rPr>
                <w:b/>
                <w:bCs/>
              </w:rPr>
              <w:t>00254801</w:t>
            </w:r>
            <w:bookmarkEnd w:id="0"/>
          </w:p>
        </w:tc>
        <w:tc>
          <w:tcPr>
            <w:tcW w:w="4568" w:type="dxa"/>
          </w:tcPr>
          <w:p w14:paraId="6530056C" w14:textId="77777777" w:rsidR="004123F1" w:rsidRPr="00680339" w:rsidRDefault="004123F1" w:rsidP="00F92D8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082FEAB" w14:textId="77777777" w:rsidR="004123F1" w:rsidRDefault="004123F1" w:rsidP="004123F1">
      <w:pPr>
        <w:pStyle w:val="Nadpis1"/>
        <w:numPr>
          <w:ilvl w:val="0"/>
          <w:numId w:val="0"/>
        </w:numPr>
      </w:pPr>
    </w:p>
    <w:p w14:paraId="785B9C3A" w14:textId="4CBCE253" w:rsidR="00C14C41" w:rsidRPr="00C14C41" w:rsidRDefault="00E444E7" w:rsidP="00C14C41">
      <w:pPr>
        <w:pStyle w:val="Nadpis1"/>
      </w:pPr>
      <w:r>
        <w:t>PÍSEMNÁ ZPRÁVA ZADAVATELE</w:t>
      </w:r>
      <w:r w:rsidR="00C0571C">
        <w:t xml:space="preserve"> – </w:t>
      </w:r>
      <w:r w:rsidR="00C14C41" w:rsidRPr="00C14C41">
        <w:t xml:space="preserve">3. ČÁST VEŘEJNÉ ZAKÁZKY - </w:t>
      </w:r>
      <w:r w:rsidR="00C14C41" w:rsidRPr="00C14C41">
        <w:rPr>
          <w:caps/>
        </w:rPr>
        <w:t>Projekt „Nejdek, MŠ Lipová – celková rekonstrukce“</w:t>
      </w:r>
    </w:p>
    <w:p w14:paraId="4F57F52F" w14:textId="77777777" w:rsidR="001C5FE8" w:rsidRPr="001C5FE8" w:rsidRDefault="001C5FE8" w:rsidP="001C5FE8"/>
    <w:p w14:paraId="7C65FB90" w14:textId="5E777D74" w:rsidR="007A1D79" w:rsidRDefault="00657592" w:rsidP="001C5FE8">
      <w:pPr>
        <w:jc w:val="right"/>
      </w:pPr>
      <w:r w:rsidRPr="001509A9">
        <w:t>V </w:t>
      </w:r>
      <w:r w:rsidR="00C0571C" w:rsidRPr="001509A9">
        <w:t>Nejdku</w:t>
      </w:r>
      <w:r w:rsidRPr="001509A9">
        <w:t xml:space="preserve"> dne </w:t>
      </w:r>
      <w:r w:rsidR="005650C7">
        <w:t>6</w:t>
      </w:r>
      <w:r w:rsidRPr="001509A9">
        <w:t xml:space="preserve">. </w:t>
      </w:r>
      <w:r w:rsidR="001509A9" w:rsidRPr="001509A9">
        <w:t>10</w:t>
      </w:r>
      <w:r w:rsidRPr="001509A9">
        <w:t>. 20</w:t>
      </w:r>
      <w:r w:rsidR="0084033D" w:rsidRPr="001509A9">
        <w:t>20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6D5CC4" w:rsidRDefault="00555062" w:rsidP="00F476ED">
      <w:pPr>
        <w:pStyle w:val="Nadpis2"/>
      </w:pPr>
      <w:r w:rsidRPr="006D5CC4">
        <w:t>Předmět veřejné zakázky a cena sjednaná ve smlouvě</w:t>
      </w:r>
    </w:p>
    <w:p w14:paraId="10D0F3B8" w14:textId="77777777" w:rsidR="00555062" w:rsidRPr="006D5CC4" w:rsidRDefault="00555062" w:rsidP="00555062"/>
    <w:p w14:paraId="67FA32A1" w14:textId="77777777" w:rsidR="00C14C41" w:rsidRPr="00C14C41" w:rsidRDefault="00C14C41" w:rsidP="00C14C41">
      <w:pPr>
        <w:jc w:val="both"/>
        <w:rPr>
          <w:bCs/>
        </w:rPr>
      </w:pPr>
      <w:r w:rsidRPr="00C14C41">
        <w:rPr>
          <w:bCs/>
        </w:rPr>
        <w:t>Předmětem 3. části veřejné zakázky je vypracování kompletní projektové dokumentace a zajištění stavebního povolení vč. odborného odhadu nákladů.</w:t>
      </w:r>
    </w:p>
    <w:p w14:paraId="3B229423" w14:textId="6A0A3B80" w:rsidR="004E3863" w:rsidRPr="00C151F9" w:rsidRDefault="004E3863" w:rsidP="00555062">
      <w:pPr>
        <w:rPr>
          <w:highlight w:val="yellow"/>
        </w:rPr>
      </w:pPr>
    </w:p>
    <w:p w14:paraId="3899E8B1" w14:textId="48DEBE67" w:rsidR="004E3863" w:rsidRPr="006D5CC4" w:rsidRDefault="004E3863" w:rsidP="00657592">
      <w:pPr>
        <w:jc w:val="both"/>
      </w:pPr>
      <w:r w:rsidRPr="004123F1">
        <w:t xml:space="preserve">Cena sjednaná ve smlouvě: </w:t>
      </w:r>
      <w:r w:rsidR="00176475" w:rsidRPr="00176475">
        <w:rPr>
          <w:b/>
          <w:bCs/>
        </w:rPr>
        <w:t>1.</w:t>
      </w:r>
      <w:r w:rsidR="00410077">
        <w:rPr>
          <w:b/>
          <w:bCs/>
        </w:rPr>
        <w:t>872</w:t>
      </w:r>
      <w:r w:rsidR="00176475" w:rsidRPr="00176475">
        <w:rPr>
          <w:b/>
          <w:bCs/>
        </w:rPr>
        <w:t>.000,00</w:t>
      </w:r>
      <w:r w:rsidR="00C0571C" w:rsidRPr="00C0571C">
        <w:rPr>
          <w:b/>
          <w:bCs/>
        </w:rPr>
        <w:t>,</w:t>
      </w:r>
      <w:r w:rsidR="004123F1" w:rsidRPr="00C0571C">
        <w:rPr>
          <w:b/>
          <w:bCs/>
        </w:rPr>
        <w:t>-</w:t>
      </w:r>
      <w:r w:rsidR="00C0571C" w:rsidRPr="00C0571C">
        <w:rPr>
          <w:b/>
          <w:bCs/>
        </w:rPr>
        <w:t xml:space="preserve"> </w:t>
      </w:r>
      <w:r w:rsidR="006D5CC4" w:rsidRPr="00C0571C">
        <w:rPr>
          <w:b/>
          <w:bCs/>
        </w:rPr>
        <w:t>Kč bez DPH</w:t>
      </w:r>
      <w:r w:rsidR="00C0571C" w:rsidRPr="00C0571C">
        <w:rPr>
          <w:b/>
          <w:bCs/>
        </w:rPr>
        <w:t>.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13F3EF52" w14:textId="22E210B6" w:rsidR="00093BF8" w:rsidRDefault="00093BF8" w:rsidP="004123F1">
      <w:pPr>
        <w:pStyle w:val="Nadpis2"/>
        <w:numPr>
          <w:ilvl w:val="0"/>
          <w:numId w:val="0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5"/>
        <w:gridCol w:w="1194"/>
        <w:gridCol w:w="3312"/>
        <w:gridCol w:w="1468"/>
        <w:gridCol w:w="1913"/>
      </w:tblGrid>
      <w:tr w:rsidR="004123F1" w:rsidRPr="000A6964" w14:paraId="12EC4964" w14:textId="77777777" w:rsidTr="00C14C41">
        <w:tc>
          <w:tcPr>
            <w:tcW w:w="1175" w:type="dxa"/>
          </w:tcPr>
          <w:p w14:paraId="24857482" w14:textId="77777777" w:rsidR="004123F1" w:rsidRPr="000A6964" w:rsidRDefault="004123F1" w:rsidP="00F92D83">
            <w:pPr>
              <w:jc w:val="center"/>
              <w:rPr>
                <w:b/>
              </w:rPr>
            </w:pPr>
            <w:bookmarkStart w:id="1" w:name="_Hlk31797559"/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2ED36A3B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312" w:type="dxa"/>
            <w:vAlign w:val="center"/>
          </w:tcPr>
          <w:p w14:paraId="7F9F2C73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>
              <w:rPr>
                <w:b/>
              </w:rPr>
              <w:t>účastníka</w:t>
            </w:r>
          </w:p>
        </w:tc>
        <w:tc>
          <w:tcPr>
            <w:tcW w:w="1468" w:type="dxa"/>
            <w:vAlign w:val="center"/>
          </w:tcPr>
          <w:p w14:paraId="187941DF" w14:textId="77777777" w:rsidR="004123F1" w:rsidRPr="000A6964" w:rsidRDefault="004123F1" w:rsidP="00F92D83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1913" w:type="dxa"/>
          </w:tcPr>
          <w:p w14:paraId="7EE0D8DB" w14:textId="77777777" w:rsidR="004123F1" w:rsidRPr="000A6964" w:rsidRDefault="004123F1" w:rsidP="00F92D83">
            <w:pPr>
              <w:jc w:val="center"/>
              <w:rPr>
                <w:b/>
              </w:rPr>
            </w:pPr>
            <w:r>
              <w:rPr>
                <w:b/>
              </w:rPr>
              <w:t>Nabídková cena v Kč bez DPH</w:t>
            </w:r>
          </w:p>
        </w:tc>
      </w:tr>
      <w:tr w:rsidR="00C14C41" w14:paraId="60887167" w14:textId="77777777" w:rsidTr="00C14C41">
        <w:tc>
          <w:tcPr>
            <w:tcW w:w="1175" w:type="dxa"/>
          </w:tcPr>
          <w:p w14:paraId="0DC83050" w14:textId="77777777" w:rsidR="00C14C41" w:rsidRPr="00C14C41" w:rsidRDefault="00C14C41" w:rsidP="00C14C41">
            <w:r w:rsidRPr="00C14C41">
              <w:t>1.</w:t>
            </w:r>
          </w:p>
        </w:tc>
        <w:tc>
          <w:tcPr>
            <w:tcW w:w="1194" w:type="dxa"/>
          </w:tcPr>
          <w:p w14:paraId="53F21C44" w14:textId="0CF2EAF8" w:rsidR="00C14C41" w:rsidRPr="00C14C41" w:rsidRDefault="00C14C41" w:rsidP="00C14C41">
            <w:r w:rsidRPr="00C14C41">
              <w:t>2</w:t>
            </w:r>
          </w:p>
        </w:tc>
        <w:tc>
          <w:tcPr>
            <w:tcW w:w="3312" w:type="dxa"/>
          </w:tcPr>
          <w:p w14:paraId="0A33472E" w14:textId="797B81DD" w:rsidR="00C14C41" w:rsidRPr="00C14C41" w:rsidRDefault="00C14C41" w:rsidP="00C14C41">
            <w:pPr>
              <w:rPr>
                <w:highlight w:val="yellow"/>
              </w:rPr>
            </w:pPr>
            <w:r w:rsidRPr="00C14C41">
              <w:t>ERPLAN s.r.o.</w:t>
            </w:r>
          </w:p>
        </w:tc>
        <w:tc>
          <w:tcPr>
            <w:tcW w:w="1468" w:type="dxa"/>
          </w:tcPr>
          <w:p w14:paraId="6C3E6775" w14:textId="23083678" w:rsidR="00C14C41" w:rsidRPr="00C14C41" w:rsidRDefault="00C14C41" w:rsidP="00C14C41">
            <w:pPr>
              <w:rPr>
                <w:highlight w:val="yellow"/>
              </w:rPr>
            </w:pPr>
            <w:r w:rsidRPr="00C14C41">
              <w:t>08082308</w:t>
            </w:r>
          </w:p>
        </w:tc>
        <w:tc>
          <w:tcPr>
            <w:tcW w:w="1913" w:type="dxa"/>
          </w:tcPr>
          <w:p w14:paraId="3113D2BD" w14:textId="610BFFDA" w:rsidR="00C14C41" w:rsidRPr="00C14C41" w:rsidRDefault="00C14C41" w:rsidP="00C14C41">
            <w:pPr>
              <w:rPr>
                <w:highlight w:val="yellow"/>
              </w:rPr>
            </w:pPr>
            <w:r w:rsidRPr="00C14C41">
              <w:t>1 296 000,00</w:t>
            </w:r>
          </w:p>
        </w:tc>
      </w:tr>
      <w:tr w:rsidR="00C14C41" w14:paraId="66362E4A" w14:textId="77777777" w:rsidTr="00C14C41">
        <w:tc>
          <w:tcPr>
            <w:tcW w:w="1175" w:type="dxa"/>
          </w:tcPr>
          <w:p w14:paraId="2BCAAB5F" w14:textId="781A87AC" w:rsidR="00C14C41" w:rsidRPr="00C14C41" w:rsidRDefault="00C14C41" w:rsidP="00C14C41">
            <w:r w:rsidRPr="00C14C41">
              <w:t>2.</w:t>
            </w:r>
          </w:p>
        </w:tc>
        <w:tc>
          <w:tcPr>
            <w:tcW w:w="1194" w:type="dxa"/>
          </w:tcPr>
          <w:p w14:paraId="191D33EE" w14:textId="0C781EBB" w:rsidR="00C14C41" w:rsidRPr="00C14C41" w:rsidRDefault="00C14C41" w:rsidP="00C14C41">
            <w:r w:rsidRPr="00C14C41">
              <w:t>5</w:t>
            </w:r>
          </w:p>
        </w:tc>
        <w:tc>
          <w:tcPr>
            <w:tcW w:w="3312" w:type="dxa"/>
          </w:tcPr>
          <w:p w14:paraId="105DFD54" w14:textId="773FA8D9" w:rsidR="00C14C41" w:rsidRPr="00C14C41" w:rsidRDefault="00C14C41" w:rsidP="00C14C41">
            <w:r w:rsidRPr="00C14C41">
              <w:t>Ing. Irena Pichlová</w:t>
            </w:r>
          </w:p>
        </w:tc>
        <w:tc>
          <w:tcPr>
            <w:tcW w:w="1468" w:type="dxa"/>
          </w:tcPr>
          <w:p w14:paraId="00CC42C5" w14:textId="603D8085" w:rsidR="00C14C41" w:rsidRPr="00C14C41" w:rsidRDefault="00C14C41" w:rsidP="00C14C41">
            <w:r w:rsidRPr="00C14C41">
              <w:t>72253134</w:t>
            </w:r>
          </w:p>
        </w:tc>
        <w:tc>
          <w:tcPr>
            <w:tcW w:w="1913" w:type="dxa"/>
          </w:tcPr>
          <w:p w14:paraId="372A20B9" w14:textId="3278598A" w:rsidR="00C14C41" w:rsidRPr="00C14C41" w:rsidRDefault="00C14C41" w:rsidP="00C14C41">
            <w:r w:rsidRPr="00C14C41">
              <w:t>1 872 000,00</w:t>
            </w:r>
          </w:p>
        </w:tc>
      </w:tr>
      <w:tr w:rsidR="00C14C41" w14:paraId="2D329498" w14:textId="77777777" w:rsidTr="00C14C41">
        <w:tc>
          <w:tcPr>
            <w:tcW w:w="1175" w:type="dxa"/>
          </w:tcPr>
          <w:p w14:paraId="6EF37C0E" w14:textId="55A178CA" w:rsidR="00C14C41" w:rsidRPr="00C14C41" w:rsidRDefault="00C14C41" w:rsidP="00C14C41">
            <w:r w:rsidRPr="00C14C41">
              <w:t>3.</w:t>
            </w:r>
          </w:p>
        </w:tc>
        <w:tc>
          <w:tcPr>
            <w:tcW w:w="1194" w:type="dxa"/>
          </w:tcPr>
          <w:p w14:paraId="0DEB164E" w14:textId="63D8A0D1" w:rsidR="00C14C41" w:rsidRPr="00C14C41" w:rsidRDefault="00C14C41" w:rsidP="00C14C41">
            <w:r w:rsidRPr="00C14C41">
              <w:t>4</w:t>
            </w:r>
          </w:p>
        </w:tc>
        <w:tc>
          <w:tcPr>
            <w:tcW w:w="3312" w:type="dxa"/>
          </w:tcPr>
          <w:p w14:paraId="0EC37380" w14:textId="089E635F" w:rsidR="00C14C41" w:rsidRPr="00C14C41" w:rsidRDefault="00C14C41" w:rsidP="00C14C41">
            <w:r w:rsidRPr="00C14C41">
              <w:t>SVIŽN s.r.o.</w:t>
            </w:r>
          </w:p>
        </w:tc>
        <w:tc>
          <w:tcPr>
            <w:tcW w:w="1468" w:type="dxa"/>
          </w:tcPr>
          <w:p w14:paraId="7B329BB6" w14:textId="3F56E723" w:rsidR="00C14C41" w:rsidRPr="00C14C41" w:rsidRDefault="00C14C41" w:rsidP="00C14C41">
            <w:r w:rsidRPr="00C14C41">
              <w:t>03301087</w:t>
            </w:r>
          </w:p>
        </w:tc>
        <w:tc>
          <w:tcPr>
            <w:tcW w:w="1913" w:type="dxa"/>
          </w:tcPr>
          <w:p w14:paraId="5F8C8762" w14:textId="03EE0954" w:rsidR="00C14C41" w:rsidRPr="00C14C41" w:rsidRDefault="00C14C41" w:rsidP="00C14C41">
            <w:r w:rsidRPr="00C14C41">
              <w:t>1 920 000,00</w:t>
            </w:r>
          </w:p>
        </w:tc>
      </w:tr>
      <w:tr w:rsidR="00C14C41" w14:paraId="510FC4B9" w14:textId="77777777" w:rsidTr="00C14C41">
        <w:tc>
          <w:tcPr>
            <w:tcW w:w="1175" w:type="dxa"/>
          </w:tcPr>
          <w:p w14:paraId="24982458" w14:textId="5A9BED29" w:rsidR="00C14C41" w:rsidRPr="00C14C41" w:rsidRDefault="00C14C41" w:rsidP="00C14C41">
            <w:r w:rsidRPr="00C14C41">
              <w:t>4.</w:t>
            </w:r>
          </w:p>
        </w:tc>
        <w:tc>
          <w:tcPr>
            <w:tcW w:w="1194" w:type="dxa"/>
          </w:tcPr>
          <w:p w14:paraId="7BB70E38" w14:textId="0D22CA52" w:rsidR="00C14C41" w:rsidRPr="00C14C41" w:rsidRDefault="00C14C41" w:rsidP="00C14C41">
            <w:r w:rsidRPr="00C14C41">
              <w:t>3</w:t>
            </w:r>
          </w:p>
        </w:tc>
        <w:tc>
          <w:tcPr>
            <w:tcW w:w="3312" w:type="dxa"/>
          </w:tcPr>
          <w:p w14:paraId="38A97AC6" w14:textId="0AB85860" w:rsidR="00C14C41" w:rsidRPr="00C14C41" w:rsidRDefault="00C14C41" w:rsidP="00C14C41">
            <w:r w:rsidRPr="00C14C41">
              <w:t>BPO spol. s r.o.</w:t>
            </w:r>
          </w:p>
        </w:tc>
        <w:tc>
          <w:tcPr>
            <w:tcW w:w="1468" w:type="dxa"/>
          </w:tcPr>
          <w:p w14:paraId="58D7BE4B" w14:textId="5D231146" w:rsidR="00C14C41" w:rsidRPr="00C14C41" w:rsidRDefault="00C14C41" w:rsidP="00C14C41">
            <w:r w:rsidRPr="00C14C41">
              <w:t>18224920</w:t>
            </w:r>
          </w:p>
        </w:tc>
        <w:tc>
          <w:tcPr>
            <w:tcW w:w="1913" w:type="dxa"/>
          </w:tcPr>
          <w:p w14:paraId="67AC1E35" w14:textId="255A7F53" w:rsidR="00C14C41" w:rsidRPr="00C14C41" w:rsidRDefault="00C14C41" w:rsidP="00C14C41">
            <w:r w:rsidRPr="00C14C41">
              <w:t>2 300 000,00</w:t>
            </w:r>
          </w:p>
        </w:tc>
      </w:tr>
      <w:bookmarkEnd w:id="1"/>
    </w:tbl>
    <w:p w14:paraId="1A5072F8" w14:textId="77777777" w:rsidR="00C0571C" w:rsidRPr="004123F1" w:rsidRDefault="00C0571C" w:rsidP="004123F1"/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5"/>
        <w:gridCol w:w="1194"/>
        <w:gridCol w:w="3410"/>
        <w:gridCol w:w="1335"/>
        <w:gridCol w:w="1938"/>
      </w:tblGrid>
      <w:tr w:rsidR="004123F1" w:rsidRPr="006D5CC4" w14:paraId="7A63947D" w14:textId="77777777" w:rsidTr="00C0571C">
        <w:tc>
          <w:tcPr>
            <w:tcW w:w="1185" w:type="dxa"/>
          </w:tcPr>
          <w:p w14:paraId="30BA150F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6DC6A4B5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10" w:type="dxa"/>
            <w:vAlign w:val="center"/>
          </w:tcPr>
          <w:p w14:paraId="78A99FCC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1E64529E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38" w:type="dxa"/>
          </w:tcPr>
          <w:p w14:paraId="09C23478" w14:textId="77777777" w:rsidR="004123F1" w:rsidRPr="006D5CC4" w:rsidRDefault="004123F1" w:rsidP="00F92D83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C14C41" w:rsidRPr="00241E65" w14:paraId="70901F4E" w14:textId="77777777" w:rsidTr="00C0571C">
        <w:tc>
          <w:tcPr>
            <w:tcW w:w="1185" w:type="dxa"/>
          </w:tcPr>
          <w:p w14:paraId="594488C1" w14:textId="011FB8C9" w:rsidR="00C14C41" w:rsidRPr="00B80EE3" w:rsidRDefault="00C14C41" w:rsidP="00C14C41">
            <w:r w:rsidRPr="00C14C41">
              <w:t>2.</w:t>
            </w:r>
          </w:p>
        </w:tc>
        <w:tc>
          <w:tcPr>
            <w:tcW w:w="1194" w:type="dxa"/>
          </w:tcPr>
          <w:p w14:paraId="353F2C01" w14:textId="691841A1" w:rsidR="00C14C41" w:rsidRPr="00B80EE3" w:rsidRDefault="00C14C41" w:rsidP="00C14C41">
            <w:r w:rsidRPr="00C14C41">
              <w:t>5</w:t>
            </w:r>
          </w:p>
        </w:tc>
        <w:tc>
          <w:tcPr>
            <w:tcW w:w="3410" w:type="dxa"/>
          </w:tcPr>
          <w:p w14:paraId="5387FEAD" w14:textId="605E7B2B" w:rsidR="00C14C41" w:rsidRPr="00241E65" w:rsidRDefault="00C14C41" w:rsidP="00C14C41">
            <w:pPr>
              <w:rPr>
                <w:highlight w:val="yellow"/>
              </w:rPr>
            </w:pPr>
            <w:r w:rsidRPr="00C14C41">
              <w:t>Ing. Irena Pichlová</w:t>
            </w:r>
          </w:p>
        </w:tc>
        <w:tc>
          <w:tcPr>
            <w:tcW w:w="1335" w:type="dxa"/>
          </w:tcPr>
          <w:p w14:paraId="2342044C" w14:textId="00233CD1" w:rsidR="00C14C41" w:rsidRPr="00241E65" w:rsidRDefault="00C14C41" w:rsidP="00C14C41">
            <w:pPr>
              <w:rPr>
                <w:highlight w:val="yellow"/>
              </w:rPr>
            </w:pPr>
            <w:r w:rsidRPr="00C14C41">
              <w:t>72253134</w:t>
            </w:r>
          </w:p>
        </w:tc>
        <w:tc>
          <w:tcPr>
            <w:tcW w:w="1938" w:type="dxa"/>
          </w:tcPr>
          <w:p w14:paraId="36AB9C18" w14:textId="6577F1F8" w:rsidR="00C14C41" w:rsidRPr="00241E65" w:rsidRDefault="00C14C41" w:rsidP="00C14C41">
            <w:pPr>
              <w:rPr>
                <w:highlight w:val="yellow"/>
              </w:rPr>
            </w:pPr>
            <w:r w:rsidRPr="00C14C41">
              <w:t>1 872 000,00</w:t>
            </w:r>
          </w:p>
        </w:tc>
      </w:tr>
    </w:tbl>
    <w:p w14:paraId="26014957" w14:textId="1A674861" w:rsidR="00C0571C" w:rsidRDefault="00C0571C" w:rsidP="006D5CC4">
      <w:pPr>
        <w:jc w:val="both"/>
      </w:pPr>
    </w:p>
    <w:p w14:paraId="4475E2BA" w14:textId="77777777" w:rsidR="00C14C41" w:rsidRPr="00AC45B3" w:rsidRDefault="00C14C41" w:rsidP="00C14C41">
      <w:pPr>
        <w:jc w:val="both"/>
        <w:rPr>
          <w:i/>
          <w:iCs/>
        </w:rPr>
      </w:pPr>
      <w:r>
        <w:t xml:space="preserve">Zástupce administrátora veřejné zakázky vypracoval Zprávu o hodnocení, podle které se na prvním místě umístila nabídka účastníka </w:t>
      </w:r>
      <w:r w:rsidRPr="00F11676">
        <w:t>ERPLAN s.r.o</w:t>
      </w:r>
      <w:r>
        <w:t xml:space="preserve">, </w:t>
      </w:r>
      <w:r w:rsidRPr="00633892">
        <w:t xml:space="preserve">IČO: </w:t>
      </w:r>
      <w:r w:rsidRPr="00F11676">
        <w:t>08082308</w:t>
      </w:r>
      <w:r>
        <w:t xml:space="preserve">. Zadavatel v bodu 11.3 zadávací dokumentace stanovil podmínku týkající se </w:t>
      </w:r>
      <w:r w:rsidRPr="008B625F">
        <w:t xml:space="preserve">omezení počtu částí veřejné zakázky, které může získat jeden účastník zadávacího </w:t>
      </w:r>
      <w:r w:rsidRPr="008B625F">
        <w:lastRenderedPageBreak/>
        <w:t>řízení dle § 101 odst. 3 Zákona: v případě, že by na základě hodnocení nabídek v </w:t>
      </w:r>
      <w:r w:rsidRPr="008B625F">
        <w:rPr>
          <w:b/>
          <w:bCs/>
        </w:rPr>
        <w:t>2. a 3. části</w:t>
      </w:r>
      <w:r w:rsidRPr="008B625F">
        <w:t xml:space="preserve"> vznikla situace, že by měl být pro obě výše uvedené části vybrán zadavatelem </w:t>
      </w:r>
      <w:r w:rsidRPr="008B625F">
        <w:rPr>
          <w:b/>
          <w:bCs/>
        </w:rPr>
        <w:t>jeden stejný účastník</w:t>
      </w:r>
      <w:r w:rsidRPr="008B625F">
        <w:t xml:space="preserve"> </w:t>
      </w:r>
      <w:r w:rsidRPr="008B625F">
        <w:rPr>
          <w:b/>
          <w:bCs/>
        </w:rPr>
        <w:t>zadávacího řízení</w:t>
      </w:r>
      <w:r w:rsidRPr="008B625F">
        <w:t xml:space="preserve">, </w:t>
      </w:r>
      <w:r w:rsidRPr="008B625F">
        <w:rPr>
          <w:b/>
          <w:bCs/>
        </w:rPr>
        <w:t xml:space="preserve">tento účastník bude vybrán pouze pro plnění 2. části veřejné zakázky. </w:t>
      </w:r>
      <w:r w:rsidRPr="008B625F">
        <w:t>Pro plnění 3. části veřejné zakázky bude následně vybrán účastník, jehož nabídka skončila v této části jako 2. v pořadí dle ekonomické výhodnosti. Zadavatel požaduje, aby části 2 a 3 veřejné zakázky byly plněny zvlášť a odlišnými účastníky zadávacího řízení.</w:t>
      </w:r>
      <w:r w:rsidRPr="00AC45B3">
        <w:rPr>
          <w:i/>
          <w:iCs/>
        </w:rPr>
        <w:t xml:space="preserve"> </w:t>
      </w:r>
    </w:p>
    <w:p w14:paraId="07506671" w14:textId="0BE5DE21" w:rsidR="00C0571C" w:rsidRPr="006D5CC4" w:rsidRDefault="00C14C41" w:rsidP="006D5CC4">
      <w:pPr>
        <w:jc w:val="both"/>
      </w:pPr>
      <w:r>
        <w:t xml:space="preserve">Jelikož nabídka účastníka </w:t>
      </w:r>
      <w:r w:rsidRPr="00F11676">
        <w:t>ERPLAN s.r.o</w:t>
      </w:r>
      <w:r>
        <w:t xml:space="preserve">, </w:t>
      </w:r>
      <w:r w:rsidRPr="00633892">
        <w:t xml:space="preserve">IČO: </w:t>
      </w:r>
      <w:r w:rsidRPr="00F11676">
        <w:t>08082308</w:t>
      </w:r>
      <w:r>
        <w:t xml:space="preserve"> nejlépe splnila základní hodnotící kritérium – ekonomická výhodnost nabídky ve 2. i 3. části veřejné zakázky, dle výše uvedené podmínky může být tento účastník vybrán jen pro 2. část předmětné veřejné zakázky. Zadavatel pro plnění 3. části veřejné zakázky vybral nabídku účastníka </w:t>
      </w:r>
      <w:r w:rsidRPr="0073289A">
        <w:t>Ing. Irena Pichlová</w:t>
      </w:r>
      <w:r>
        <w:t xml:space="preserve">, IČO: </w:t>
      </w:r>
      <w:r w:rsidRPr="0073289A">
        <w:t>72253134</w:t>
      </w:r>
      <w:r>
        <w:t xml:space="preserve">, která se umístila jako druhá v pořadí, a které nejlépe splňuje základní hodnotící kritérium. </w:t>
      </w:r>
    </w:p>
    <w:p w14:paraId="46DAD64F" w14:textId="77777777" w:rsidR="006D5CC4" w:rsidRPr="006D5CC4" w:rsidRDefault="006D5CC4" w:rsidP="006D5CC4">
      <w:pPr>
        <w:jc w:val="both"/>
      </w:pPr>
    </w:p>
    <w:p w14:paraId="545C65D8" w14:textId="77777777" w:rsidR="00093BF8" w:rsidRPr="006D5CC4" w:rsidRDefault="00093BF8" w:rsidP="00425DBF">
      <w:pPr>
        <w:pStyle w:val="Nadpis2"/>
      </w:pPr>
      <w:r w:rsidRPr="006D5CC4">
        <w:t>Označení poddodavatelů vybraného dodavatele</w:t>
      </w:r>
    </w:p>
    <w:p w14:paraId="77BC04CE" w14:textId="3534E997" w:rsidR="00093BF8" w:rsidRDefault="00093BF8" w:rsidP="00093BF8"/>
    <w:p w14:paraId="49F21D99" w14:textId="686644F4" w:rsidR="00C0571C" w:rsidRPr="006D5CC4" w:rsidRDefault="00C0571C" w:rsidP="00093BF8">
      <w:r>
        <w:t>-</w:t>
      </w:r>
    </w:p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5DE32ECC" w:rsidR="00A97E55" w:rsidRDefault="00A97E55" w:rsidP="00A97E55"/>
    <w:p w14:paraId="6F873BDF" w14:textId="3210CC34" w:rsidR="00C0571C" w:rsidRPr="006D5CC4" w:rsidRDefault="00C0571C" w:rsidP="00A97E55">
      <w:r>
        <w:t>-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7777777" w:rsidR="00A97E55" w:rsidRPr="006D5CC4" w:rsidRDefault="00A97E55" w:rsidP="00A97E55"/>
    <w:p w14:paraId="59E65DB6" w14:textId="77777777" w:rsidR="00555062" w:rsidRPr="006D5CC4" w:rsidRDefault="007E2078" w:rsidP="007E2078">
      <w:pPr>
        <w:pStyle w:val="Nadpis1"/>
      </w:pPr>
      <w:r w:rsidRPr="006D5CC4">
        <w:lastRenderedPageBreak/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  <w:r w:rsidRPr="006D5CC4">
              <w:rPr>
                <w:u w:val="single"/>
              </w:rPr>
              <w:t>Za zadavatele:</w:t>
            </w:r>
          </w:p>
          <w:p w14:paraId="5B1D77FE" w14:textId="77777777" w:rsidR="00620EC8" w:rsidRPr="006D5CC4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63DB8FA4" w:rsidR="00620EC8" w:rsidRPr="00106EA4" w:rsidRDefault="004E3863" w:rsidP="00A72381">
            <w:pPr>
              <w:pStyle w:val="Bezmezer"/>
            </w:pPr>
            <w:r w:rsidRPr="00106EA4">
              <w:t xml:space="preserve">Mgr. </w:t>
            </w:r>
            <w:r w:rsidR="00106EA4" w:rsidRPr="00106EA4">
              <w:t>Veronika Kučerová</w:t>
            </w:r>
          </w:p>
          <w:p w14:paraId="21A5400D" w14:textId="77777777" w:rsidR="00425DBF" w:rsidRPr="006D5CC4" w:rsidRDefault="00425DBF" w:rsidP="00A72381">
            <w:pPr>
              <w:pStyle w:val="Bezmezer"/>
            </w:pPr>
            <w:r w:rsidRPr="00106EA4">
              <w:t>Administrátor VZ</w:t>
            </w:r>
          </w:p>
          <w:p w14:paraId="5B96F6AE" w14:textId="77777777" w:rsidR="00620EC8" w:rsidRPr="006D5CC4" w:rsidRDefault="00620EC8" w:rsidP="00A72381">
            <w:pPr>
              <w:pStyle w:val="Bezmezer"/>
            </w:pPr>
          </w:p>
          <w:p w14:paraId="498267BF" w14:textId="77777777" w:rsidR="00620EC8" w:rsidRPr="006D5CC4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6D5CC4" w:rsidRDefault="00620EC8" w:rsidP="00A72381">
            <w:pPr>
              <w:pStyle w:val="Bezmezer"/>
            </w:pPr>
            <w:r w:rsidRPr="006D5CC4">
              <w:rPr>
                <w:u w:val="single"/>
              </w:rPr>
              <w:t>Podpis:</w:t>
            </w:r>
          </w:p>
          <w:p w14:paraId="79957F34" w14:textId="77777777" w:rsidR="00620EC8" w:rsidRPr="006D5CC4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Default="00425DBF" w:rsidP="00A72381">
            <w:pPr>
              <w:pStyle w:val="Bezmezer"/>
              <w:rPr>
                <w:rFonts w:cs="Arial"/>
              </w:rPr>
            </w:pPr>
            <w:r w:rsidRPr="006D5CC4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8496" w14:textId="77777777" w:rsidR="000D39A9" w:rsidRDefault="000D39A9" w:rsidP="00E45CE2">
      <w:pPr>
        <w:spacing w:after="0"/>
      </w:pPr>
      <w:r>
        <w:separator/>
      </w:r>
    </w:p>
  </w:endnote>
  <w:endnote w:type="continuationSeparator" w:id="0">
    <w:p w14:paraId="7C01225F" w14:textId="77777777" w:rsidR="000D39A9" w:rsidRDefault="000D39A9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D906" w14:textId="77777777" w:rsidR="000D39A9" w:rsidRDefault="000D39A9" w:rsidP="00E45CE2">
      <w:pPr>
        <w:spacing w:after="0"/>
      </w:pPr>
      <w:r>
        <w:separator/>
      </w:r>
    </w:p>
  </w:footnote>
  <w:footnote w:type="continuationSeparator" w:id="0">
    <w:p w14:paraId="4F2EB7A9" w14:textId="77777777" w:rsidR="000D39A9" w:rsidRDefault="000D39A9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329BF"/>
    <w:rsid w:val="00054D0B"/>
    <w:rsid w:val="000744E1"/>
    <w:rsid w:val="0007506E"/>
    <w:rsid w:val="00076352"/>
    <w:rsid w:val="00085248"/>
    <w:rsid w:val="00093BF8"/>
    <w:rsid w:val="00096ADD"/>
    <w:rsid w:val="000A6964"/>
    <w:rsid w:val="000D1D6E"/>
    <w:rsid w:val="000D39A9"/>
    <w:rsid w:val="000E33E3"/>
    <w:rsid w:val="00106EA4"/>
    <w:rsid w:val="001178CF"/>
    <w:rsid w:val="0013581E"/>
    <w:rsid w:val="001451AF"/>
    <w:rsid w:val="001509A9"/>
    <w:rsid w:val="001654A3"/>
    <w:rsid w:val="00176475"/>
    <w:rsid w:val="00185713"/>
    <w:rsid w:val="001943EA"/>
    <w:rsid w:val="001C5FE8"/>
    <w:rsid w:val="001D492E"/>
    <w:rsid w:val="001E565A"/>
    <w:rsid w:val="002102F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B3ED0"/>
    <w:rsid w:val="003D6976"/>
    <w:rsid w:val="003E3E91"/>
    <w:rsid w:val="00410077"/>
    <w:rsid w:val="004123F1"/>
    <w:rsid w:val="0042454E"/>
    <w:rsid w:val="00425DBF"/>
    <w:rsid w:val="0043072A"/>
    <w:rsid w:val="00446A5B"/>
    <w:rsid w:val="004B09DB"/>
    <w:rsid w:val="004D5B4B"/>
    <w:rsid w:val="004E2982"/>
    <w:rsid w:val="004E3863"/>
    <w:rsid w:val="00510584"/>
    <w:rsid w:val="00514B03"/>
    <w:rsid w:val="00535AD5"/>
    <w:rsid w:val="00555062"/>
    <w:rsid w:val="005650C7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A4F70"/>
    <w:rsid w:val="007C16C1"/>
    <w:rsid w:val="007D20CB"/>
    <w:rsid w:val="007D320E"/>
    <w:rsid w:val="007D34D5"/>
    <w:rsid w:val="007E2078"/>
    <w:rsid w:val="007F22D5"/>
    <w:rsid w:val="00822DB0"/>
    <w:rsid w:val="0083535A"/>
    <w:rsid w:val="0084033D"/>
    <w:rsid w:val="00843E29"/>
    <w:rsid w:val="00864854"/>
    <w:rsid w:val="00892582"/>
    <w:rsid w:val="008C29FF"/>
    <w:rsid w:val="0090474A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45E"/>
    <w:rsid w:val="00A20770"/>
    <w:rsid w:val="00A31FD5"/>
    <w:rsid w:val="00A677C2"/>
    <w:rsid w:val="00A723E4"/>
    <w:rsid w:val="00A97E55"/>
    <w:rsid w:val="00AB31D3"/>
    <w:rsid w:val="00AB36D5"/>
    <w:rsid w:val="00AF2457"/>
    <w:rsid w:val="00B039DD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0571C"/>
    <w:rsid w:val="00C0711E"/>
    <w:rsid w:val="00C14C41"/>
    <w:rsid w:val="00C151F9"/>
    <w:rsid w:val="00C46490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77975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1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nejdek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azky.nejde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rqC0jSCgLO5DC27aXfyYa9LxEVWDT6eWtlC1PBctQ+E=</DigestValue>
    </Reference>
    <Reference Type="http://www.w3.org/2000/09/xmldsig#Object" URI="#idOfficeObject">
      <DigestMethod Algorithm="http://www.w3.org/2001/04/xmlenc#sha256"/>
      <DigestValue>GTv0oxI2cwgVapSqwjzpxaEkKOtsQhlgwKe1hvfrX5Y=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ZOUbl9eNHHb9Trd8mzl1eMZAlXqbWJAW4fKJ8ePZED0=</DigestValue>
    </Reference>
  </SignedInfo>
  <SignatureValue>nqcdkWW4Te0an96cBfKaVvCyVE/HyJsed6RHQwOxu6qdhHzJG5aQfd5sDUUcs7ctnnh9LjcNZWSa
L3J6IRJfdv8hGzNNsJlaKalf+zP1AHa3nWNE1I9QfzEROSJelgpL9P5+2V2KA9KbJydq/PVSm9AO
g4atqfWB+/yiAb5t7lq4J5LqHDSojIaCy93TIhkET/6NV0+d8BYzEGd80taGS45YmJ+uABypYArR
QDR8tDZPzDINiaqTW/dVr9RFq82mQnoKNLEConBL16coh02iFUK/MnX/0954YT/hORsHme8ko58C
C+ZfGXLlVLGIZhs6PedkZHwHk4ug6z7tbdYEpw==</SignatureValue>
  <KeyInfo>
    <X509Data>
      <X509Certificate>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ijYV1ztnDOOF55VSfY1R32TVDzfzJycFDBpCT5gR4ow=</DigestValue>
      </Reference>
      <Reference URI="/word/document.xml?ContentType=application/vnd.openxmlformats-officedocument.wordprocessingml.document.main+xml">
        <DigestMethod Algorithm="http://www.w3.org/2001/04/xmlenc#sha256"/>
        <DigestValue>5NzPj+AgsOpNp1do9xQVEamhMkol7QvSsH95Y+24ZvE=</DigestValue>
      </Reference>
      <Reference URI="/word/endnotes.xml?ContentType=application/vnd.openxmlformats-officedocument.wordprocessingml.endnotes+xml">
        <DigestMethod Algorithm="http://www.w3.org/2001/04/xmlenc#sha256"/>
        <DigestValue>6RjZJtVAfALKvbzgbHCTOmyPl2Ny4IX+8aVd403ZOto=</DigestValue>
      </Reference>
      <Reference URI="/word/fontTable.xml?ContentType=application/vnd.openxmlformats-officedocument.wordprocessingml.fontTable+xml">
        <DigestMethod Algorithm="http://www.w3.org/2001/04/xmlenc#sha256"/>
        <DigestValue>198TNxgZBTX3NQvEDOFhSPAnnIyAq0D3Xgod0dCJkPI=</DigestValue>
      </Reference>
      <Reference URI="/word/footer1.xml?ContentType=application/vnd.openxmlformats-officedocument.wordprocessingml.footer+xml">
        <DigestMethod Algorithm="http://www.w3.org/2001/04/xmlenc#sha256"/>
        <DigestValue>PGvrQX8YZ46LoFisCBI88aktrNmmqq2bkOzIgbsYYj0=</DigestValue>
      </Reference>
      <Reference URI="/word/footnotes.xml?ContentType=application/vnd.openxmlformats-officedocument.wordprocessingml.footnotes+xml">
        <DigestMethod Algorithm="http://www.w3.org/2001/04/xmlenc#sha256"/>
        <DigestValue>6WTQGXjtNezyRMMn6ZeaOo7tHU1dnVKe1OQTVOhO4co=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qX5bEW/H8NB3r5jgWFXm1Z+3Nu0IpR9IbjaskOCn1yE=</DigestValue>
      </Reference>
      <Reference URI="/word/settings.xml?ContentType=application/vnd.openxmlformats-officedocument.wordprocessingml.settings+xml">
        <DigestMethod Algorithm="http://www.w3.org/2001/04/xmlenc#sha256"/>
        <DigestValue>Jq/Z8xrkwJZoVOl5YRizk33gWTafenufo47beeqIKog=</DigestValue>
      </Reference>
      <Reference URI="/word/styles.xml?ContentType=application/vnd.openxmlformats-officedocument.wordprocessingml.styles+xml">
        <DigestMethod Algorithm="http://www.w3.org/2001/04/xmlenc#sha256"/>
        <DigestValue>3Km3+ni9qis4I4Q7AjCJSrjOSddHE3l0p9FVp7qkixU=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JDr+6HzTC7T115+F1EosOgUQ7+pXteeFkWjXoimTkFY=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2020-10-13T15:51:57Z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2020-10-13T15:51:57Z</xd:SigningTime>
          <xd:SigningCertificate>
            <xd:Cert>
              <xd:CertDigest>
                <DigestMethod Algorithm="http://www.w3.org/2001/04/xmlenc#sha256"/>
                <DigestValue>YwujoEOQsckzZDzGRLkywbKeSlVDBbBQ2dduoriztGU=</DigestValue>
              </xd:CertDigest>
              <xd:IssuerSerial>
                <X509IssuerName>CN=PostSignum Qualified CA 4, O="Česká pošta, s.p.", OID.2.5.4.97=NTRCZ-47114983, C=CZ</X509IssuerName>
                <X509SerialNumber>22114495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337FA-E65C-40BD-BDE8-2108C4784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8C060-82A1-453B-9FD7-F1030AD0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7</cp:revision>
  <cp:lastPrinted>2020-10-01T07:31:00Z</cp:lastPrinted>
  <dcterms:created xsi:type="dcterms:W3CDTF">2020-09-29T14:37:00Z</dcterms:created>
  <dcterms:modified xsi:type="dcterms:W3CDTF">2020-10-06T10:07:00Z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