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0C24557E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2F5183">
        <w:rPr>
          <w:rFonts w:ascii="Arial" w:hAnsi="Arial" w:cs="Arial"/>
          <w:b/>
        </w:rPr>
        <w:t>b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 xml:space="preserve">ást </w:t>
      </w:r>
      <w:r w:rsidR="002F5183">
        <w:rPr>
          <w:rFonts w:ascii="Arial" w:hAnsi="Arial" w:cs="Arial"/>
          <w:b/>
        </w:rPr>
        <w:t>2</w:t>
      </w:r>
      <w:r w:rsidR="00CF3D5F" w:rsidRPr="001C0853">
        <w:rPr>
          <w:rFonts w:ascii="Arial" w:hAnsi="Arial" w:cs="Arial"/>
          <w:b/>
        </w:rPr>
        <w:t xml:space="preserve">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32AB5A94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B758C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4DC3FAA6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Část </w:t>
            </w:r>
            <w:r w:rsidR="009660A9">
              <w:rPr>
                <w:rFonts w:ascii="Arial" w:hAnsi="Arial" w:cs="Arial"/>
              </w:rPr>
              <w:t>2</w:t>
            </w:r>
            <w:r w:rsidRPr="001C0853">
              <w:rPr>
                <w:rFonts w:ascii="Arial" w:hAnsi="Arial" w:cs="Arial"/>
              </w:rPr>
              <w:t xml:space="preserve"> - 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Pr="001C0853">
              <w:rPr>
                <w:rFonts w:ascii="Arial" w:hAnsi="Arial" w:cs="Arial"/>
              </w:rPr>
              <w:t>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7EB5D1EB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CF3D5F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6B4E759B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Část </w:t>
            </w:r>
            <w:r w:rsidR="009660A9">
              <w:rPr>
                <w:rFonts w:ascii="Arial" w:hAnsi="Arial" w:cs="Arial"/>
              </w:rPr>
              <w:t>2</w:t>
            </w:r>
            <w:r w:rsidRPr="001C0853">
              <w:rPr>
                <w:rFonts w:ascii="Arial" w:hAnsi="Arial" w:cs="Arial"/>
              </w:rPr>
              <w:t xml:space="preserve"> - 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Pr="001C0853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3EB9917B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regenerace či revitalizace sídliště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49FBD74A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2B6F149E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Část </w:t>
            </w:r>
            <w:r w:rsidR="009660A9">
              <w:rPr>
                <w:rFonts w:ascii="Arial" w:hAnsi="Arial" w:cs="Arial"/>
              </w:rPr>
              <w:t>2</w:t>
            </w:r>
            <w:r w:rsidRPr="001C0853">
              <w:rPr>
                <w:rFonts w:ascii="Arial" w:hAnsi="Arial" w:cs="Arial"/>
              </w:rPr>
              <w:t xml:space="preserve"> - 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Pr="001C0853">
              <w:rPr>
                <w:rFonts w:ascii="Arial" w:hAnsi="Arial" w:cs="Arial"/>
              </w:rPr>
              <w:t>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5F7A73F7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</w:t>
      </w:r>
      <w:r w:rsidR="009660A9">
        <w:rPr>
          <w:rFonts w:ascii="Arial" w:hAnsi="Arial" w:cs="Arial"/>
          <w:b/>
          <w:sz w:val="20"/>
          <w:szCs w:val="20"/>
        </w:rPr>
        <w:t>2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186AA6A0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Část </w:t>
            </w:r>
            <w:r w:rsidR="009660A9">
              <w:rPr>
                <w:rFonts w:ascii="Arial" w:hAnsi="Arial" w:cs="Arial"/>
              </w:rPr>
              <w:t>2</w:t>
            </w:r>
            <w:r w:rsidRPr="001C0853">
              <w:rPr>
                <w:rFonts w:ascii="Arial" w:hAnsi="Arial" w:cs="Arial"/>
              </w:rPr>
              <w:t xml:space="preserve"> - 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Pr="001C0853">
              <w:rPr>
                <w:rFonts w:ascii="Arial" w:hAnsi="Arial" w:cs="Arial"/>
              </w:rPr>
              <w:t>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7F2C561B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proofErr w:type="gramStart"/>
      <w:r w:rsidRPr="001C0853">
        <w:rPr>
          <w:rFonts w:ascii="Arial" w:hAnsi="Arial" w:cs="Arial"/>
          <w:b/>
        </w:rPr>
        <w:t>6</w:t>
      </w:r>
      <w:r w:rsidR="009660A9">
        <w:rPr>
          <w:rFonts w:ascii="Arial" w:hAnsi="Arial" w:cs="Arial"/>
          <w:b/>
        </w:rPr>
        <w:t>b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proofErr w:type="gramEnd"/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B758C" w:rsidRPr="001C0853">
        <w:rPr>
          <w:rFonts w:ascii="Arial" w:hAnsi="Arial" w:cs="Arial"/>
          <w:b/>
        </w:rPr>
        <w:t xml:space="preserve">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7670DBDE" w14:textId="4E4E9B0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="009660A9" w:rsidRPr="009660A9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Část 2: Nejdek, revitalizace sídliště Lipová</w:t>
      </w:r>
    </w:p>
    <w:p w14:paraId="62AFB92D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3BDBE438" w14:textId="77777777" w:rsidR="009660A9" w:rsidRPr="009660A9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9660A9">
        <w:rPr>
          <w:rFonts w:ascii="Arial" w:eastAsia="Calibri" w:hAnsi="Arial" w:cs="Arial"/>
          <w:kern w:val="2"/>
          <w14:ligatures w14:val="standardContextual"/>
        </w:rPr>
        <w:t>Záměrem je celková revitalizaci sídliště, která bude spočívat obnově povrchů komunikací včetně podkladních vrstev (v případě potřeby), rozšíření možnosti parkování osobních vozidel, úprava zeleně, obnova a rozšíření dětských hřišť, sportovišť a mobiliáře. Součástí projektu bude zaměření území, průzkum podloží, studie a její veřejné představení.</w:t>
      </w:r>
    </w:p>
    <w:p w14:paraId="7DCEFF72" w14:textId="77777777" w:rsidR="009660A9" w:rsidRPr="009660A9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9660A9">
        <w:rPr>
          <w:rFonts w:ascii="Arial" w:eastAsia="Calibri" w:hAnsi="Arial" w:cs="Arial"/>
          <w:kern w:val="2"/>
          <w14:ligatures w14:val="standardContextual"/>
        </w:rPr>
        <w:t xml:space="preserve">Parcelní číslo: 2021/1, 2027/36, 2027/37, 2027/38, 2027/39, 2027/40, 2027/41, 3194/1 vše v </w:t>
      </w:r>
      <w:proofErr w:type="spellStart"/>
      <w:r w:rsidRPr="009660A9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9660A9">
        <w:rPr>
          <w:rFonts w:ascii="Arial" w:eastAsia="Calibri" w:hAnsi="Arial" w:cs="Arial"/>
          <w:kern w:val="2"/>
          <w14:ligatures w14:val="standardContextual"/>
        </w:rPr>
        <w:t>. Nejdek [702625]</w:t>
      </w:r>
    </w:p>
    <w:p w14:paraId="092AC715" w14:textId="77777777" w:rsidR="009660A9" w:rsidRPr="009660A9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25051BD2" w14:textId="49241E1C" w:rsidR="00CF3D5F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9660A9">
        <w:rPr>
          <w:rFonts w:ascii="Arial" w:eastAsia="Calibri" w:hAnsi="Arial" w:cs="Arial"/>
          <w:kern w:val="2"/>
          <w14:ligatures w14:val="standardContextual"/>
        </w:rPr>
        <w:t>Bez projekčních podkladů</w:t>
      </w:r>
    </w:p>
    <w:p w14:paraId="7300BDD1" w14:textId="77777777" w:rsidR="009660A9" w:rsidRPr="00CF3D5F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9660A9" w:rsidRPr="009660A9" w14:paraId="3F08D2F6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159BE986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195A7A0C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Zjednodušený popis obsahu etapy</w:t>
            </w:r>
          </w:p>
        </w:tc>
      </w:tr>
      <w:tr w:rsidR="009660A9" w:rsidRPr="009660A9" w14:paraId="3C2156F2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5091EE79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1. Příprava</w:t>
            </w:r>
          </w:p>
        </w:tc>
        <w:tc>
          <w:tcPr>
            <w:tcW w:w="3986" w:type="pct"/>
            <w:vAlign w:val="center"/>
          </w:tcPr>
          <w:p w14:paraId="09768043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geodetické zaměření (výškopis, polohopis)</w:t>
            </w:r>
          </w:p>
          <w:p w14:paraId="222337D3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 xml:space="preserve">- průzkum na zjištění únosnosti a stavu podloží např. pomocí sond (kopaná vrtaná) cca po </w:t>
            </w:r>
            <w:proofErr w:type="gramStart"/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50m</w:t>
            </w:r>
            <w:proofErr w:type="gramEnd"/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 xml:space="preserve"> </w:t>
            </w:r>
          </w:p>
        </w:tc>
      </w:tr>
      <w:tr w:rsidR="009660A9" w:rsidRPr="009660A9" w14:paraId="4E7AC2FA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66114BB7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2. Studie</w:t>
            </w:r>
          </w:p>
        </w:tc>
        <w:tc>
          <w:tcPr>
            <w:tcW w:w="3986" w:type="pct"/>
            <w:vAlign w:val="center"/>
          </w:tcPr>
          <w:p w14:paraId="4092A876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studie řešení - 2 varianty</w:t>
            </w:r>
          </w:p>
          <w:p w14:paraId="55558FCE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veřejná prezentace studií</w:t>
            </w:r>
          </w:p>
        </w:tc>
      </w:tr>
      <w:tr w:rsidR="009660A9" w:rsidRPr="009660A9" w14:paraId="51FE2D0A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5696D54C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3. Projekt</w:t>
            </w:r>
          </w:p>
        </w:tc>
        <w:tc>
          <w:tcPr>
            <w:tcW w:w="3986" w:type="pct"/>
            <w:vAlign w:val="center"/>
          </w:tcPr>
          <w:p w14:paraId="7381B4B3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9660A9" w:rsidRPr="009660A9" w14:paraId="02A73612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1F12B5C5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4. Inženýring</w:t>
            </w:r>
          </w:p>
        </w:tc>
        <w:tc>
          <w:tcPr>
            <w:tcW w:w="3986" w:type="pct"/>
            <w:vAlign w:val="center"/>
          </w:tcPr>
          <w:p w14:paraId="2BD417F1" w14:textId="77777777" w:rsidR="009660A9" w:rsidRPr="009660A9" w:rsidRDefault="009660A9" w:rsidP="009660A9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9660A9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73E6ABDB" w14:textId="77777777" w:rsidR="009660A9" w:rsidRPr="00585604" w:rsidRDefault="009660A9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4EB0D9B6" w14:textId="2181DEF3" w:rsid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259DD4A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413" w:type="pct"/>
            <w:vAlign w:val="center"/>
          </w:tcPr>
          <w:p w14:paraId="32F32D4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9660A9" w:rsidRPr="009660A9" w14:paraId="79BF7D14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  <w:vAlign w:val="center"/>
          </w:tcPr>
          <w:p w14:paraId="7EA4F71B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6</w:t>
            </w:r>
          </w:p>
        </w:tc>
        <w:tc>
          <w:tcPr>
            <w:tcW w:w="413" w:type="pct"/>
            <w:vAlign w:val="center"/>
          </w:tcPr>
          <w:p w14:paraId="19A8BF4C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9</w:t>
            </w:r>
          </w:p>
        </w:tc>
      </w:tr>
      <w:tr w:rsidR="009660A9" w:rsidRPr="009660A9" w14:paraId="60A8692E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  <w:vAlign w:val="center"/>
          </w:tcPr>
          <w:p w14:paraId="53344F3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413" w:type="pct"/>
            <w:vAlign w:val="center"/>
          </w:tcPr>
          <w:p w14:paraId="18CF381D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15</w:t>
            </w:r>
          </w:p>
        </w:tc>
      </w:tr>
      <w:tr w:rsidR="009660A9" w:rsidRPr="009660A9" w14:paraId="61F47116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  <w:vAlign w:val="center"/>
          </w:tcPr>
          <w:p w14:paraId="5D4536AE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413" w:type="pct"/>
            <w:vAlign w:val="center"/>
          </w:tcPr>
          <w:p w14:paraId="434FA832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24</w:t>
            </w:r>
          </w:p>
        </w:tc>
      </w:tr>
      <w:tr w:rsidR="009660A9" w:rsidRPr="009660A9" w14:paraId="18FDABD7" w14:textId="77777777" w:rsidTr="009660A9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  <w:vAlign w:val="center"/>
          </w:tcPr>
          <w:p w14:paraId="6B59C68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fldChar w:fldCharType="begin"/>
            </w:r>
            <w:r w:rsidRPr="009660A9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9660A9">
              <w:rPr>
                <w:rFonts w:ascii="Arial" w:hAnsi="Arial" w:cs="Arial"/>
                <w:i/>
                <w:iCs/>
              </w:rPr>
              <w:fldChar w:fldCharType="separate"/>
            </w:r>
            <w:r w:rsidRPr="009660A9">
              <w:rPr>
                <w:rFonts w:ascii="Arial" w:hAnsi="Arial" w:cs="Arial"/>
                <w:i/>
                <w:iCs/>
              </w:rPr>
              <w:t>32</w:t>
            </w:r>
            <w:r w:rsidRPr="009660A9">
              <w:rPr>
                <w:rFonts w:ascii="Arial" w:hAnsi="Arial" w:cs="Arial"/>
                <w:i/>
                <w:iCs/>
              </w:rPr>
              <w:fldChar w:fldCharType="end"/>
            </w:r>
          </w:p>
        </w:tc>
        <w:tc>
          <w:tcPr>
            <w:tcW w:w="413" w:type="pct"/>
            <w:vAlign w:val="center"/>
          </w:tcPr>
          <w:p w14:paraId="6E21927D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fldChar w:fldCharType="begin"/>
            </w:r>
            <w:r w:rsidRPr="009660A9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9660A9">
              <w:rPr>
                <w:rFonts w:ascii="Arial" w:hAnsi="Arial" w:cs="Arial"/>
                <w:i/>
                <w:iCs/>
              </w:rPr>
              <w:fldChar w:fldCharType="separate"/>
            </w:r>
            <w:r w:rsidRPr="009660A9">
              <w:rPr>
                <w:rFonts w:ascii="Arial" w:hAnsi="Arial" w:cs="Arial"/>
                <w:i/>
                <w:iCs/>
              </w:rPr>
              <w:t>48</w:t>
            </w:r>
            <w:r w:rsidRPr="009660A9">
              <w:rPr>
                <w:rFonts w:ascii="Arial" w:hAnsi="Arial" w:cs="Arial"/>
                <w:i/>
                <w:iCs/>
              </w:rPr>
              <w:fldChar w:fldCharType="end"/>
            </w:r>
          </w:p>
        </w:tc>
      </w:tr>
    </w:tbl>
    <w:p w14:paraId="63F44CAC" w14:textId="77777777" w:rsidR="009660A9" w:rsidRPr="00417354" w:rsidRDefault="009660A9" w:rsidP="00417354">
      <w:pPr>
        <w:spacing w:after="0"/>
        <w:rPr>
          <w:rFonts w:ascii="Arial" w:hAnsi="Arial" w:cs="Arial"/>
          <w:i/>
          <w:iCs/>
        </w:rPr>
      </w:pPr>
    </w:p>
    <w:p w14:paraId="2E341CCC" w14:textId="77777777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>Nejzazší termín plnění 31. 1. 2026.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3BCC68DD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9660A9">
        <w:rPr>
          <w:rFonts w:ascii="Arial" w:hAnsi="Arial" w:cs="Arial"/>
          <w:b/>
        </w:rPr>
        <w:t>b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20D8386D" w:rsidR="001B3CA5" w:rsidRPr="001C0853" w:rsidRDefault="009660A9" w:rsidP="001B3CA5">
            <w:pPr>
              <w:jc w:val="center"/>
              <w:rPr>
                <w:rFonts w:ascii="Arial" w:hAnsi="Arial" w:cs="Arial"/>
              </w:rPr>
            </w:pPr>
            <w:r w:rsidRPr="009660A9">
              <w:rPr>
                <w:rFonts w:ascii="Arial" w:hAnsi="Arial" w:cs="Arial"/>
              </w:rPr>
              <w:t xml:space="preserve">Část 2: </w:t>
            </w:r>
            <w:r>
              <w:rPr>
                <w:rFonts w:ascii="Arial" w:hAnsi="Arial" w:cs="Arial"/>
              </w:rPr>
              <w:t>„</w:t>
            </w:r>
            <w:r w:rsidRPr="009660A9">
              <w:rPr>
                <w:rFonts w:ascii="Arial" w:hAnsi="Arial" w:cs="Arial"/>
              </w:rPr>
              <w:t>Nejdek, revitalizace sídliště Lipová</w:t>
            </w:r>
            <w:r>
              <w:rPr>
                <w:rFonts w:ascii="Arial" w:hAnsi="Arial" w:cs="Arial"/>
              </w:rPr>
              <w:t>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6F05A85C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  <w:r w:rsidR="009660A9">
        <w:rPr>
          <w:rFonts w:ascii="Arial" w:eastAsia="Calibri" w:hAnsi="Arial" w:cs="Arial"/>
          <w:b/>
          <w:bCs/>
        </w:rPr>
        <w:t xml:space="preserve"> pro část 2 Zakázky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0F7A7F57" w:rsidR="00BD14E5" w:rsidRPr="000C7A9D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Nejdek, Projektové dokumentace 2024</w:t>
            </w:r>
            <w:r w:rsidR="009660A9">
              <w:rPr>
                <w:rFonts w:ascii="Arial" w:eastAsia="Calibri" w:hAnsi="Arial" w:cs="Arial"/>
                <w:bCs/>
                <w:sz w:val="20"/>
              </w:rPr>
              <w:t xml:space="preserve">, </w:t>
            </w:r>
            <w:r w:rsidR="009660A9" w:rsidRPr="009660A9">
              <w:rPr>
                <w:rFonts w:ascii="Arial" w:eastAsia="Calibri" w:hAnsi="Arial" w:cs="Arial"/>
                <w:bCs/>
                <w:sz w:val="20"/>
              </w:rPr>
              <w:t>Část 2: Nejdek, revitalizace sídliště Lipová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kvalifikaci společně s jiným dodavatelem či prostřednictvím poddodavatele, jehož podíl na plnění veřejné zakázky </w:t>
      </w:r>
      <w:proofErr w:type="gramStart"/>
      <w:r w:rsidRPr="000C7A9D">
        <w:rPr>
          <w:rFonts w:ascii="Arial" w:eastAsia="Batang" w:hAnsi="Arial" w:cs="Arial"/>
          <w:sz w:val="20"/>
          <w:szCs w:val="20"/>
          <w:lang w:eastAsia="cs-CZ"/>
        </w:rPr>
        <w:t>tvoří</w:t>
      </w:r>
      <w:proofErr w:type="gramEnd"/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78ED4D29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6B348799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9660A9" w:rsidRPr="009660A9">
              <w:rPr>
                <w:rFonts w:ascii="Arial" w:hAnsi="Arial" w:cs="Arial"/>
              </w:rPr>
              <w:t xml:space="preserve">Část 2: </w:t>
            </w:r>
            <w:r w:rsidR="009660A9">
              <w:rPr>
                <w:rFonts w:ascii="Arial" w:hAnsi="Arial" w:cs="Arial"/>
              </w:rPr>
              <w:t>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="009660A9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ANO/NE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1CDB8822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</w:t>
      </w:r>
      <w:r w:rsidR="009660A9">
        <w:rPr>
          <w:rFonts w:ascii="Arial" w:hAnsi="Arial" w:cs="Arial"/>
          <w:b/>
        </w:rPr>
        <w:t>2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79C027E4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9660A9" w:rsidRPr="009660A9">
              <w:rPr>
                <w:rFonts w:ascii="Arial" w:hAnsi="Arial" w:cs="Arial"/>
              </w:rPr>
              <w:t xml:space="preserve">Část 2: </w:t>
            </w:r>
            <w:r w:rsidR="009660A9">
              <w:rPr>
                <w:rFonts w:ascii="Arial" w:hAnsi="Arial" w:cs="Arial"/>
              </w:rPr>
              <w:t>„</w:t>
            </w:r>
            <w:r w:rsidR="009660A9" w:rsidRPr="009660A9">
              <w:rPr>
                <w:rFonts w:ascii="Arial" w:hAnsi="Arial" w:cs="Arial"/>
              </w:rPr>
              <w:t>Nejdek, revitalizace sídliště Lipová</w:t>
            </w:r>
            <w:r w:rsidR="009660A9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0AC05146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</w:t>
      </w:r>
      <w:r w:rsidR="009660A9">
        <w:rPr>
          <w:rFonts w:ascii="Arial" w:eastAsia="Calibri" w:hAnsi="Arial" w:cs="Arial"/>
          <w:b/>
        </w:rPr>
        <w:t>2</w:t>
      </w:r>
      <w:r w:rsidR="001C0853">
        <w:rPr>
          <w:rFonts w:ascii="Arial" w:eastAsia="Calibri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05D9FDB1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Nejdek, Projektové dokumentace 2024 – </w:t>
            </w:r>
            <w:r w:rsidR="009660A9" w:rsidRPr="009660A9">
              <w:rPr>
                <w:rFonts w:ascii="Arial" w:eastAsia="Calibri" w:hAnsi="Arial" w:cs="Arial"/>
              </w:rPr>
              <w:t>Část 2: Nejdek, revitalizace sídliště Lipová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5A85B" w14:textId="77777777" w:rsidR="00A82B6E" w:rsidRDefault="00A82B6E" w:rsidP="009C2365">
      <w:pPr>
        <w:spacing w:after="0" w:line="240" w:lineRule="auto"/>
      </w:pPr>
      <w:r>
        <w:separator/>
      </w:r>
    </w:p>
  </w:endnote>
  <w:endnote w:type="continuationSeparator" w:id="0">
    <w:p w14:paraId="7F3067A4" w14:textId="77777777" w:rsidR="00A82B6E" w:rsidRDefault="00A82B6E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C5684" w14:textId="77777777" w:rsidR="00A82B6E" w:rsidRDefault="00A82B6E" w:rsidP="009C2365">
      <w:pPr>
        <w:spacing w:after="0" w:line="240" w:lineRule="auto"/>
      </w:pPr>
      <w:r>
        <w:separator/>
      </w:r>
    </w:p>
  </w:footnote>
  <w:footnote w:type="continuationSeparator" w:id="0">
    <w:p w14:paraId="42F2C83C" w14:textId="77777777" w:rsidR="00A82B6E" w:rsidRDefault="00A82B6E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D2CE2"/>
    <w:rsid w:val="000E0C0B"/>
    <w:rsid w:val="00101ED7"/>
    <w:rsid w:val="00101FC0"/>
    <w:rsid w:val="00114AC3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B3610"/>
    <w:rsid w:val="002C3014"/>
    <w:rsid w:val="002F5183"/>
    <w:rsid w:val="00317FDD"/>
    <w:rsid w:val="003711C7"/>
    <w:rsid w:val="00376757"/>
    <w:rsid w:val="00397866"/>
    <w:rsid w:val="003C76AD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F10B8"/>
    <w:rsid w:val="005850EF"/>
    <w:rsid w:val="00585604"/>
    <w:rsid w:val="005960D1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660A9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568B8"/>
    <w:rsid w:val="00BA5C85"/>
    <w:rsid w:val="00BC055B"/>
    <w:rsid w:val="00BD14E5"/>
    <w:rsid w:val="00C255CE"/>
    <w:rsid w:val="00C4485D"/>
    <w:rsid w:val="00C46C93"/>
    <w:rsid w:val="00C85740"/>
    <w:rsid w:val="00CB5A85"/>
    <w:rsid w:val="00CD4112"/>
    <w:rsid w:val="00CD73D0"/>
    <w:rsid w:val="00CF3D5F"/>
    <w:rsid w:val="00CF4856"/>
    <w:rsid w:val="00D158AD"/>
    <w:rsid w:val="00D216BC"/>
    <w:rsid w:val="00D5484C"/>
    <w:rsid w:val="00D81694"/>
    <w:rsid w:val="00D85ED1"/>
    <w:rsid w:val="00DC45D0"/>
    <w:rsid w:val="00DD584C"/>
    <w:rsid w:val="00E30C59"/>
    <w:rsid w:val="00E37810"/>
    <w:rsid w:val="00E51AF2"/>
    <w:rsid w:val="00E87921"/>
    <w:rsid w:val="00EA5D2D"/>
    <w:rsid w:val="00EB6A0A"/>
    <w:rsid w:val="00EC5E32"/>
    <w:rsid w:val="00ED2A20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2078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2</cp:revision>
  <dcterms:created xsi:type="dcterms:W3CDTF">2024-09-11T21:18:00Z</dcterms:created>
  <dcterms:modified xsi:type="dcterms:W3CDTF">2024-09-11T21:18:00Z</dcterms:modified>
</cp:coreProperties>
</file>